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7B7606"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Arial" w:eastAsia="Times New Roman" w:hAnsi="Arial" w:cs="Arial"/>
          <w:b/>
          <w:bCs/>
          <w:color w:val="000000"/>
          <w:sz w:val="25"/>
          <w:szCs w:val="25"/>
        </w:rPr>
        <w:t>DEEMING WRIT OF SUMMONS FILED IN NIGERIAN COURTS</w:t>
      </w:r>
      <w:r w:rsidRPr="00437E7A">
        <w:rPr>
          <w:rFonts w:ascii="Cambria" w:eastAsia="Times New Roman" w:hAnsi="Cambria" w:cs="Times New Roman"/>
          <w:b/>
          <w:bCs/>
          <w:color w:val="000000"/>
          <w:sz w:val="25"/>
          <w:szCs w:val="25"/>
        </w:rPr>
        <w:t xml:space="preserve">- </w:t>
      </w:r>
      <w:r w:rsidRPr="00437E7A">
        <w:rPr>
          <w:rFonts w:ascii="Cambria" w:eastAsia="Times New Roman" w:hAnsi="Cambria" w:cs="Times New Roman"/>
          <w:b/>
          <w:bCs/>
          <w:color w:val="000000"/>
          <w:sz w:val="24"/>
          <w:szCs w:val="24"/>
        </w:rPr>
        <w:t>AN AGED LONG UBIQUITOUS PRACTICE ERROR</w:t>
      </w:r>
    </w:p>
    <w:p w14:paraId="5F6B8704" w14:textId="77777777" w:rsidR="00437E7A" w:rsidRPr="00437E7A" w:rsidRDefault="00437E7A" w:rsidP="00437E7A">
      <w:pPr>
        <w:spacing w:after="0" w:line="240" w:lineRule="auto"/>
        <w:jc w:val="center"/>
        <w:rPr>
          <w:rFonts w:ascii="Times New Roman" w:eastAsia="Times New Roman" w:hAnsi="Times New Roman" w:cs="Times New Roman"/>
          <w:sz w:val="24"/>
          <w:szCs w:val="24"/>
        </w:rPr>
      </w:pPr>
      <w:r w:rsidRPr="00437E7A">
        <w:rPr>
          <w:rFonts w:ascii="Times New Roman" w:eastAsia="Times New Roman" w:hAnsi="Times New Roman" w:cs="Times New Roman"/>
          <w:color w:val="000000"/>
          <w:sz w:val="26"/>
          <w:szCs w:val="26"/>
        </w:rPr>
        <w:t>BY</w:t>
      </w:r>
    </w:p>
    <w:p w14:paraId="3B277F31"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Times New Roman" w:eastAsia="Times New Roman" w:hAnsi="Times New Roman" w:cs="Times New Roman"/>
          <w:color w:val="000000"/>
          <w:sz w:val="26"/>
          <w:szCs w:val="26"/>
        </w:rPr>
        <w:tab/>
      </w:r>
      <w:r w:rsidRPr="00437E7A">
        <w:rPr>
          <w:rFonts w:ascii="Times New Roman" w:eastAsia="Times New Roman" w:hAnsi="Times New Roman" w:cs="Times New Roman"/>
          <w:color w:val="000000"/>
          <w:sz w:val="26"/>
          <w:szCs w:val="26"/>
        </w:rPr>
        <w:tab/>
        <w:t xml:space="preserve">S.O. GIWA ESQ. </w:t>
      </w:r>
      <w:proofErr w:type="spellStart"/>
      <w:r w:rsidRPr="00437E7A">
        <w:rPr>
          <w:rFonts w:ascii="Times New Roman" w:eastAsia="Times New Roman" w:hAnsi="Times New Roman" w:cs="Times New Roman"/>
          <w:i/>
          <w:iCs/>
          <w:color w:val="000000"/>
          <w:sz w:val="26"/>
          <w:szCs w:val="26"/>
        </w:rPr>
        <w:t>a.k.a</w:t>
      </w:r>
      <w:proofErr w:type="spellEnd"/>
      <w:r w:rsidRPr="00437E7A">
        <w:rPr>
          <w:rFonts w:ascii="Times New Roman" w:eastAsia="Times New Roman" w:hAnsi="Times New Roman" w:cs="Times New Roman"/>
          <w:i/>
          <w:iCs/>
          <w:color w:val="000000"/>
          <w:sz w:val="26"/>
          <w:szCs w:val="26"/>
        </w:rPr>
        <w:t xml:space="preserve"> </w:t>
      </w:r>
      <w:proofErr w:type="spellStart"/>
      <w:r w:rsidRPr="00437E7A">
        <w:rPr>
          <w:rFonts w:ascii="Times New Roman" w:eastAsia="Times New Roman" w:hAnsi="Times New Roman" w:cs="Times New Roman"/>
          <w:i/>
          <w:iCs/>
          <w:color w:val="000000"/>
          <w:sz w:val="26"/>
          <w:szCs w:val="26"/>
        </w:rPr>
        <w:t>pentalk</w:t>
      </w:r>
      <w:proofErr w:type="spellEnd"/>
      <w:r w:rsidRPr="00437E7A">
        <w:rPr>
          <w:rFonts w:ascii="Times New Roman" w:eastAsia="Times New Roman" w:hAnsi="Times New Roman" w:cs="Times New Roman"/>
          <w:i/>
          <w:iCs/>
          <w:color w:val="000000"/>
          <w:sz w:val="26"/>
          <w:szCs w:val="26"/>
        </w:rPr>
        <w:t xml:space="preserve"> </w:t>
      </w:r>
      <w:r w:rsidRPr="00437E7A">
        <w:rPr>
          <w:rFonts w:ascii="Times New Roman" w:eastAsia="Times New Roman" w:hAnsi="Times New Roman" w:cs="Times New Roman"/>
          <w:color w:val="000000"/>
          <w:sz w:val="26"/>
          <w:szCs w:val="26"/>
        </w:rPr>
        <w:t xml:space="preserve">(Ibadan based Legal Practitioner)  </w:t>
      </w:r>
      <w:r w:rsidRPr="00437E7A">
        <w:rPr>
          <w:rFonts w:ascii="Times New Roman" w:eastAsia="Times New Roman" w:hAnsi="Times New Roman" w:cs="Times New Roman"/>
          <w:color w:val="000000"/>
          <w:sz w:val="26"/>
          <w:szCs w:val="26"/>
        </w:rPr>
        <w:tab/>
      </w:r>
      <w:r w:rsidRPr="00437E7A">
        <w:rPr>
          <w:rFonts w:ascii="Times New Roman" w:eastAsia="Times New Roman" w:hAnsi="Times New Roman" w:cs="Times New Roman"/>
          <w:color w:val="000000"/>
          <w:sz w:val="26"/>
          <w:szCs w:val="26"/>
        </w:rPr>
        <w:tab/>
      </w:r>
      <w:r w:rsidRPr="00437E7A">
        <w:rPr>
          <w:rFonts w:ascii="Times New Roman" w:eastAsia="Times New Roman" w:hAnsi="Times New Roman" w:cs="Times New Roman"/>
          <w:color w:val="000000"/>
          <w:sz w:val="26"/>
          <w:szCs w:val="26"/>
        </w:rPr>
        <w:tab/>
        <w:t xml:space="preserve"> </w:t>
      </w:r>
      <w:r w:rsidRPr="00437E7A">
        <w:rPr>
          <w:rFonts w:ascii="Times New Roman" w:eastAsia="Times New Roman" w:hAnsi="Times New Roman" w:cs="Times New Roman"/>
          <w:color w:val="000000"/>
          <w:sz w:val="26"/>
          <w:szCs w:val="26"/>
        </w:rPr>
        <w:tab/>
      </w:r>
      <w:r w:rsidRPr="00437E7A">
        <w:rPr>
          <w:rFonts w:ascii="Times New Roman" w:eastAsia="Times New Roman" w:hAnsi="Times New Roman" w:cs="Times New Roman"/>
          <w:color w:val="000000"/>
          <w:sz w:val="26"/>
          <w:szCs w:val="26"/>
        </w:rPr>
        <w:tab/>
        <w:t xml:space="preserve">                     </w:t>
      </w:r>
      <w:hyperlink r:id="rId4" w:history="1">
        <w:r w:rsidRPr="00437E7A">
          <w:rPr>
            <w:rFonts w:ascii="Arial" w:eastAsia="Times New Roman" w:hAnsi="Arial" w:cs="Arial"/>
            <w:b/>
            <w:bCs/>
            <w:color w:val="0000FF"/>
            <w:sz w:val="28"/>
            <w:szCs w:val="28"/>
            <w:u w:val="single"/>
          </w:rPr>
          <w:t>giwa_pentalk@yahoo.com</w:t>
        </w:r>
      </w:hyperlink>
      <w:r w:rsidRPr="00437E7A">
        <w:rPr>
          <w:rFonts w:ascii="Arial" w:eastAsia="Times New Roman" w:hAnsi="Arial" w:cs="Arial"/>
          <w:b/>
          <w:bCs/>
          <w:color w:val="000000"/>
          <w:sz w:val="28"/>
          <w:szCs w:val="28"/>
        </w:rPr>
        <w:t xml:space="preserve"> 08035224192</w:t>
      </w:r>
    </w:p>
    <w:p w14:paraId="7547535D"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4C560B73"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It is not unknown that Judges in Nigerian Courts particularly State High Courts and Federal High Court do grant orders deeming writ of summons filed and served upon Applicant(s)’ application for amendment.</w:t>
      </w:r>
    </w:p>
    <w:p w14:paraId="1C020D93"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15CF8F3B"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One keeps wondering why our courts do grant orders deeming writ of summons filed which has been amended even before the leave to amend same is granted. </w:t>
      </w:r>
    </w:p>
    <w:p w14:paraId="56B68135"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32879FA1"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This practice of seeking the grant of orders deeming writ of summons filed and served by our courts has become ubiquitous practice of many lawyers; especially young lawyers who are fond of doing things as they often seen senior lawyers do in courts and courts granting same without any objection from lawyers in the matter. How right is this act of deeming writ of summons filed and served?</w:t>
      </w:r>
    </w:p>
    <w:p w14:paraId="1803A102"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5E448212"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It is no gainsaying that Rules of Court are guides to the court in conducting court business and they are the lubricants of the machinery of justice which contain minute details of the various steps which a litigant should take in the process of getting the court to determine his case.</w:t>
      </w:r>
    </w:p>
    <w:p w14:paraId="053EDD29"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57B72198"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In a bid to find out legal backing for the grant of orders of deeming of writ of summons filed by the court via application for amendment pursuant to the provision of the Rules of Court for amending his Originating process, recourse was made to High Court (Civil Procedure) Rules of South-West States of Nigeria including Federal High Court (Civil Procedure) Rules 2019 with a view to finding out if there is any provision in the Federal High Court (Civil Procedure) Rules 2019 and the High Court of those States for the practice.</w:t>
      </w:r>
    </w:p>
    <w:p w14:paraId="2790AACC"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73F52122"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 xml:space="preserve">Recourse had to the High Court (Civil Procedure) Rules of Oyo, Ogun, Ondo, Ekiti, Osun and Lagos States in force and Federal High Court (Civil Procedure) Rules 2019 evinced provisions on amendment of </w:t>
      </w:r>
      <w:r w:rsidRPr="00437E7A">
        <w:rPr>
          <w:rFonts w:ascii="Bookman Old Style" w:eastAsia="Times New Roman" w:hAnsi="Bookman Old Style" w:cs="Times New Roman"/>
          <w:color w:val="000000"/>
          <w:sz w:val="28"/>
          <w:szCs w:val="28"/>
        </w:rPr>
        <w:lastRenderedPageBreak/>
        <w:t>Originating process and minute details of what a litigant should do in getting desire of amending his originating process achieved.</w:t>
      </w:r>
    </w:p>
    <w:p w14:paraId="1E050B11"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42864C70"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It is not in doubt that the Federal High Court (Civil Procedure) Rules 2019 and High Court (Civil Procedure) Rules of many States provide for amendment of the Originating process which include Writ of Summons via filing of application for amendment.</w:t>
      </w:r>
    </w:p>
    <w:p w14:paraId="352F468B"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71B224E0"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It is the writer’s observation that many lawyers used to pray for the relief ‘Order deeming the writ of summons filed and served as properly filed and served’ via the application for leave to amend pursuant to provisions on amendment in the Rules of Court without any recourse to the Rules of the said Court to find out if there is deeming provision to do so.</w:t>
      </w:r>
    </w:p>
    <w:p w14:paraId="5A3D922B"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     </w:t>
      </w:r>
    </w:p>
    <w:p w14:paraId="071D71F0"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Of all High Court (Civil Procedure) Rules of aforementioned States, only High Court (Civil Procedure) Rules of Ekiti and Ogun States have deeming provision under their Order 24 rule 9 respectively. The provision goes thus:</w:t>
      </w:r>
    </w:p>
    <w:p w14:paraId="0FA8B066"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b/>
          <w:bCs/>
          <w:i/>
          <w:iCs/>
          <w:color w:val="000000"/>
          <w:sz w:val="28"/>
          <w:szCs w:val="28"/>
        </w:rPr>
        <w:t>‘Where an applicant has already filed an amended process, the Court may in appropriate cases deem such process properly filed and served in which situation Rule 6 above will be in application.’</w:t>
      </w:r>
    </w:p>
    <w:p w14:paraId="5583F2F9"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420D23F5"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The reference to the provision of rule 6 of Order 24 in the above quoted provision calls for writing out the provision in rule 6 for further discussion. The provision of Order 24 rule 6 alluded to in Order 24 rule 9 quoted above hereunder quoted.</w:t>
      </w:r>
    </w:p>
    <w:p w14:paraId="0D293E41"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b/>
          <w:bCs/>
          <w:i/>
          <w:iCs/>
          <w:color w:val="000000"/>
          <w:sz w:val="28"/>
          <w:szCs w:val="28"/>
        </w:rPr>
        <w:t>‘‘Whenever any endorsement or pleading is amended, it shall be marked in the following manner:</w:t>
      </w:r>
    </w:p>
    <w:p w14:paraId="02460BB3"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b/>
          <w:bCs/>
          <w:i/>
          <w:iCs/>
          <w:color w:val="000000"/>
          <w:sz w:val="28"/>
          <w:szCs w:val="28"/>
        </w:rPr>
        <w:t>‘Amended…………………day…………..of………………pursuant to order of (name of Judge) dated ……………the day of ………………..’’</w:t>
      </w:r>
    </w:p>
    <w:p w14:paraId="543B7B76"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08FC48DF"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It is fundamentally important to say at this juncture that there is no deeming provision in the Federal High Court (Civil Procedure) Rules 2019 and yet Judges of Federal High Court do grant orders deeming writ of summons filed. </w:t>
      </w:r>
    </w:p>
    <w:p w14:paraId="518445D0"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5A771C3F"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lastRenderedPageBreak/>
        <w:t>It is the writer’s further stand that the above quoted provision of Order 24 of rule 9 of High Court (Civil Procedure) Rules of Ekiti and Ogun States  wherein the provision of rule 6 was made reference to only relate to pleading and not writ of summons and it would be wrong for anyone to submit that the deeming provision in Order 24 rule 9 of the High Court (Civil Procedure) Rules of Ekiti and Ogun States gives the Judges of High Court in the two States power to deem the writ of summons filed and served.</w:t>
      </w:r>
    </w:p>
    <w:p w14:paraId="26837501"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1C2C7238"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It is the writer’s stand that using the provision of Order 24 rule 9 of the High Court (Civil Procedure) Rules of Ekiti and Ogun States to seek order deeming writ of summons filed and served as many lawyers in Nigeria used to do is a wrong use of the said provision.</w:t>
      </w:r>
    </w:p>
    <w:p w14:paraId="7026936D"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12F2A893"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 xml:space="preserve">It must equally be noted that the word ‘pleading’ in legal parlance is distinctively defined in </w:t>
      </w:r>
      <w:r w:rsidRPr="00437E7A">
        <w:rPr>
          <w:rFonts w:ascii="Bookman Old Style" w:eastAsia="Times New Roman" w:hAnsi="Bookman Old Style" w:cs="Times New Roman"/>
          <w:b/>
          <w:bCs/>
          <w:color w:val="000000"/>
          <w:sz w:val="28"/>
          <w:szCs w:val="28"/>
        </w:rPr>
        <w:t>Lewis vs. Packer (1960) 1W.L.R 425</w:t>
      </w:r>
      <w:r w:rsidRPr="00437E7A">
        <w:rPr>
          <w:rFonts w:ascii="Bookman Old Style" w:eastAsia="Times New Roman" w:hAnsi="Bookman Old Style" w:cs="Times New Roman"/>
          <w:color w:val="000000"/>
          <w:sz w:val="28"/>
          <w:szCs w:val="28"/>
        </w:rPr>
        <w:t xml:space="preserve"> as </w:t>
      </w:r>
      <w:r w:rsidRPr="00437E7A">
        <w:rPr>
          <w:rFonts w:ascii="Bookman Old Style" w:eastAsia="Times New Roman" w:hAnsi="Bookman Old Style" w:cs="Times New Roman"/>
          <w:b/>
          <w:bCs/>
          <w:i/>
          <w:iCs/>
          <w:color w:val="000000"/>
          <w:sz w:val="28"/>
          <w:szCs w:val="28"/>
        </w:rPr>
        <w:t xml:space="preserve">‘written statements of the parties which are served by each party on the other and which sets forth in a summary form the material facts on which each relies in support of his claim or </w:t>
      </w:r>
      <w:proofErr w:type="spellStart"/>
      <w:r w:rsidRPr="00437E7A">
        <w:rPr>
          <w:rFonts w:ascii="Bookman Old Style" w:eastAsia="Times New Roman" w:hAnsi="Bookman Old Style" w:cs="Times New Roman"/>
          <w:b/>
          <w:bCs/>
          <w:i/>
          <w:iCs/>
          <w:color w:val="000000"/>
          <w:sz w:val="28"/>
          <w:szCs w:val="28"/>
        </w:rPr>
        <w:t>defence</w:t>
      </w:r>
      <w:proofErr w:type="spellEnd"/>
      <w:r w:rsidRPr="00437E7A">
        <w:rPr>
          <w:rFonts w:ascii="Bookman Old Style" w:eastAsia="Times New Roman" w:hAnsi="Bookman Old Style" w:cs="Times New Roman"/>
          <w:b/>
          <w:bCs/>
          <w:i/>
          <w:iCs/>
          <w:color w:val="000000"/>
          <w:sz w:val="28"/>
          <w:szCs w:val="28"/>
        </w:rPr>
        <w:t>.’</w:t>
      </w:r>
    </w:p>
    <w:p w14:paraId="0239B924"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7B805438"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It follows therefore that in this sense, pleadings do not include the writ of summons and only pleadings exchange by parties which registrar has nothing to do on it that the Judges of High Court in Ogun and Ekiti States have power to deem filed and served upon application.</w:t>
      </w:r>
    </w:p>
    <w:p w14:paraId="052BE6C1"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00402EA4"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It is the writer’s further stand that even with the existence of deeming provision in the High Court (Civil Procedure) Rules of Ekiti and Ogun States; and non-existence of such deeming provision in the High Court (Civil Procedure) Rules of Oyo, Ondo, Osun and Lagos States and Federal High Court (Civil Procedure) Rules 2019; the Judges of Federal High Court and Judges of High Court in the mentioned States in focus lack power to grant order deeming writ of summons filed and served. </w:t>
      </w:r>
    </w:p>
    <w:p w14:paraId="394A09B8"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68639DE7"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 xml:space="preserve">Fortifying the writer’s stand that the Judges of Federal High Court and Judges of High Court in the mentioned States in focus lack power to grant order deeming writ of summons filed and served is the </w:t>
      </w:r>
      <w:r w:rsidRPr="00437E7A">
        <w:rPr>
          <w:rFonts w:ascii="Bookman Old Style" w:eastAsia="Times New Roman" w:hAnsi="Bookman Old Style" w:cs="Times New Roman"/>
          <w:color w:val="000000"/>
          <w:sz w:val="28"/>
          <w:szCs w:val="28"/>
        </w:rPr>
        <w:lastRenderedPageBreak/>
        <w:t xml:space="preserve">holding of Court of Appeal in the case of </w:t>
      </w:r>
      <w:proofErr w:type="spellStart"/>
      <w:r w:rsidRPr="00437E7A">
        <w:rPr>
          <w:rFonts w:ascii="Bookman Old Style" w:eastAsia="Times New Roman" w:hAnsi="Bookman Old Style" w:cs="Times New Roman"/>
          <w:b/>
          <w:bCs/>
          <w:color w:val="000000"/>
          <w:sz w:val="28"/>
          <w:szCs w:val="28"/>
        </w:rPr>
        <w:t>Chidobi</w:t>
      </w:r>
      <w:proofErr w:type="spellEnd"/>
      <w:r w:rsidRPr="00437E7A">
        <w:rPr>
          <w:rFonts w:ascii="Bookman Old Style" w:eastAsia="Times New Roman" w:hAnsi="Bookman Old Style" w:cs="Times New Roman"/>
          <w:b/>
          <w:bCs/>
          <w:color w:val="000000"/>
          <w:sz w:val="28"/>
          <w:szCs w:val="28"/>
        </w:rPr>
        <w:t xml:space="preserve"> vs. </w:t>
      </w:r>
      <w:proofErr w:type="spellStart"/>
      <w:r w:rsidRPr="00437E7A">
        <w:rPr>
          <w:rFonts w:ascii="Bookman Old Style" w:eastAsia="Times New Roman" w:hAnsi="Bookman Old Style" w:cs="Times New Roman"/>
          <w:b/>
          <w:bCs/>
          <w:color w:val="000000"/>
          <w:sz w:val="28"/>
          <w:szCs w:val="28"/>
        </w:rPr>
        <w:t>Ujieze</w:t>
      </w:r>
      <w:proofErr w:type="spellEnd"/>
      <w:r w:rsidRPr="00437E7A">
        <w:rPr>
          <w:rFonts w:ascii="Bookman Old Style" w:eastAsia="Times New Roman" w:hAnsi="Bookman Old Style" w:cs="Times New Roman"/>
          <w:b/>
          <w:bCs/>
          <w:color w:val="000000"/>
          <w:sz w:val="28"/>
          <w:szCs w:val="28"/>
        </w:rPr>
        <w:t xml:space="preserve"> (1994) 2 NWLR (Part 328) 554 @566 Paragraphs F-G </w:t>
      </w:r>
      <w:r w:rsidRPr="00437E7A">
        <w:rPr>
          <w:rFonts w:ascii="Bookman Old Style" w:eastAsia="Times New Roman" w:hAnsi="Bookman Old Style" w:cs="Times New Roman"/>
          <w:color w:val="000000"/>
          <w:sz w:val="28"/>
          <w:szCs w:val="28"/>
        </w:rPr>
        <w:t>that:</w:t>
      </w:r>
    </w:p>
    <w:p w14:paraId="50AD88C6"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b/>
          <w:bCs/>
          <w:color w:val="000000"/>
          <w:sz w:val="28"/>
          <w:szCs w:val="28"/>
          <w:u w:val="single"/>
        </w:rPr>
        <w:t>‘A writ of summons cannot be deemed as having been filed and served,</w:t>
      </w:r>
      <w:r w:rsidRPr="00437E7A">
        <w:rPr>
          <w:rFonts w:ascii="Bookman Old Style" w:eastAsia="Times New Roman" w:hAnsi="Bookman Old Style" w:cs="Times New Roman"/>
          <w:b/>
          <w:bCs/>
          <w:color w:val="000000"/>
          <w:sz w:val="28"/>
          <w:szCs w:val="28"/>
        </w:rPr>
        <w:t xml:space="preserve"> because </w:t>
      </w:r>
      <w:r w:rsidRPr="00437E7A">
        <w:rPr>
          <w:rFonts w:ascii="Bookman Old Style" w:eastAsia="Times New Roman" w:hAnsi="Bookman Old Style" w:cs="Times New Roman"/>
          <w:b/>
          <w:bCs/>
          <w:color w:val="000000"/>
          <w:sz w:val="28"/>
          <w:szCs w:val="28"/>
          <w:u w:val="single"/>
        </w:rPr>
        <w:t xml:space="preserve">it is a document which by definition commences the proceedings. </w:t>
      </w:r>
      <w:r w:rsidRPr="00437E7A">
        <w:rPr>
          <w:rFonts w:ascii="Bookman Old Style" w:eastAsia="Times New Roman" w:hAnsi="Bookman Old Style" w:cs="Times New Roman"/>
          <w:b/>
          <w:bCs/>
          <w:color w:val="000000"/>
          <w:sz w:val="28"/>
          <w:szCs w:val="28"/>
        </w:rPr>
        <w:t xml:space="preserve">The documents which a court can ‘deem’ are those which parties exchange between themselves during the course of proceedings, such as statement of claim or </w:t>
      </w:r>
      <w:proofErr w:type="spellStart"/>
      <w:r w:rsidRPr="00437E7A">
        <w:rPr>
          <w:rFonts w:ascii="Bookman Old Style" w:eastAsia="Times New Roman" w:hAnsi="Bookman Old Style" w:cs="Times New Roman"/>
          <w:b/>
          <w:bCs/>
          <w:color w:val="000000"/>
          <w:sz w:val="28"/>
          <w:szCs w:val="28"/>
        </w:rPr>
        <w:t>defence</w:t>
      </w:r>
      <w:proofErr w:type="spellEnd"/>
      <w:r w:rsidRPr="00437E7A">
        <w:rPr>
          <w:rFonts w:ascii="Bookman Old Style" w:eastAsia="Times New Roman" w:hAnsi="Bookman Old Style" w:cs="Times New Roman"/>
          <w:b/>
          <w:bCs/>
          <w:color w:val="000000"/>
          <w:sz w:val="28"/>
          <w:szCs w:val="28"/>
        </w:rPr>
        <w:t xml:space="preserve"> and briefs of arguments, and </w:t>
      </w:r>
      <w:r w:rsidRPr="00437E7A">
        <w:rPr>
          <w:rFonts w:ascii="Bookman Old Style" w:eastAsia="Times New Roman" w:hAnsi="Bookman Old Style" w:cs="Times New Roman"/>
          <w:b/>
          <w:bCs/>
          <w:color w:val="000000"/>
          <w:sz w:val="28"/>
          <w:szCs w:val="28"/>
          <w:u w:val="single"/>
        </w:rPr>
        <w:t>not those which require the signature of the registrar for their validity</w:t>
      </w:r>
      <w:r w:rsidRPr="00437E7A">
        <w:rPr>
          <w:rFonts w:ascii="Bookman Old Style" w:eastAsia="Times New Roman" w:hAnsi="Bookman Old Style" w:cs="Times New Roman"/>
          <w:b/>
          <w:bCs/>
          <w:color w:val="000000"/>
          <w:sz w:val="28"/>
          <w:szCs w:val="28"/>
        </w:rPr>
        <w:t xml:space="preserve">.’ </w:t>
      </w:r>
      <w:r w:rsidRPr="00437E7A">
        <w:rPr>
          <w:rFonts w:ascii="Bookman Old Style" w:eastAsia="Times New Roman" w:hAnsi="Bookman Old Style" w:cs="Times New Roman"/>
          <w:color w:val="000000"/>
          <w:sz w:val="28"/>
          <w:szCs w:val="28"/>
        </w:rPr>
        <w:t>The underlines are the writer’s for emphasis.</w:t>
      </w:r>
    </w:p>
    <w:p w14:paraId="2C64F650"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384A217F"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 xml:space="preserve">It must be bore in mind that the above principle received approval and re-echoed by </w:t>
      </w:r>
      <w:r w:rsidRPr="00437E7A">
        <w:rPr>
          <w:rFonts w:ascii="Bookman Old Style" w:eastAsia="Times New Roman" w:hAnsi="Bookman Old Style" w:cs="Times New Roman"/>
          <w:b/>
          <w:bCs/>
          <w:color w:val="000000"/>
          <w:sz w:val="28"/>
          <w:szCs w:val="28"/>
        </w:rPr>
        <w:t>Justice Akpabio J.C.A</w:t>
      </w:r>
      <w:r w:rsidRPr="00437E7A">
        <w:rPr>
          <w:rFonts w:ascii="Bookman Old Style" w:eastAsia="Times New Roman" w:hAnsi="Bookman Old Style" w:cs="Times New Roman"/>
          <w:color w:val="000000"/>
          <w:sz w:val="28"/>
          <w:szCs w:val="28"/>
        </w:rPr>
        <w:t xml:space="preserve">. in </w:t>
      </w:r>
      <w:proofErr w:type="spellStart"/>
      <w:r w:rsidRPr="00437E7A">
        <w:rPr>
          <w:rFonts w:ascii="Bookman Old Style" w:eastAsia="Times New Roman" w:hAnsi="Bookman Old Style" w:cs="Times New Roman"/>
          <w:b/>
          <w:bCs/>
          <w:color w:val="000000"/>
          <w:sz w:val="28"/>
          <w:szCs w:val="28"/>
        </w:rPr>
        <w:t>Miti</w:t>
      </w:r>
      <w:proofErr w:type="spellEnd"/>
      <w:r w:rsidRPr="00437E7A">
        <w:rPr>
          <w:rFonts w:ascii="Bookman Old Style" w:eastAsia="Times New Roman" w:hAnsi="Bookman Old Style" w:cs="Times New Roman"/>
          <w:b/>
          <w:bCs/>
          <w:color w:val="000000"/>
          <w:sz w:val="28"/>
          <w:szCs w:val="28"/>
        </w:rPr>
        <w:t xml:space="preserve"> vs. N.N.B Plc (1997) 3 NWLR (Part 496) 737 @ 743 paragraph D </w:t>
      </w:r>
      <w:r w:rsidRPr="00437E7A">
        <w:rPr>
          <w:rFonts w:ascii="Bookman Old Style" w:eastAsia="Times New Roman" w:hAnsi="Bookman Old Style" w:cs="Times New Roman"/>
          <w:color w:val="000000"/>
          <w:sz w:val="28"/>
          <w:szCs w:val="28"/>
        </w:rPr>
        <w:t xml:space="preserve">and by </w:t>
      </w:r>
      <w:r w:rsidRPr="00437E7A">
        <w:rPr>
          <w:rFonts w:ascii="Bookman Old Style" w:eastAsia="Times New Roman" w:hAnsi="Bookman Old Style" w:cs="Times New Roman"/>
          <w:b/>
          <w:bCs/>
          <w:color w:val="000000"/>
          <w:sz w:val="28"/>
          <w:szCs w:val="28"/>
        </w:rPr>
        <w:t xml:space="preserve">Justice </w:t>
      </w:r>
      <w:proofErr w:type="spellStart"/>
      <w:r w:rsidRPr="00437E7A">
        <w:rPr>
          <w:rFonts w:ascii="Bookman Old Style" w:eastAsia="Times New Roman" w:hAnsi="Bookman Old Style" w:cs="Times New Roman"/>
          <w:b/>
          <w:bCs/>
          <w:color w:val="000000"/>
          <w:sz w:val="28"/>
          <w:szCs w:val="28"/>
        </w:rPr>
        <w:t>Iyizoba</w:t>
      </w:r>
      <w:proofErr w:type="spellEnd"/>
      <w:r w:rsidRPr="00437E7A">
        <w:rPr>
          <w:rFonts w:ascii="Bookman Old Style" w:eastAsia="Times New Roman" w:hAnsi="Bookman Old Style" w:cs="Times New Roman"/>
          <w:b/>
          <w:bCs/>
          <w:color w:val="000000"/>
          <w:sz w:val="28"/>
          <w:szCs w:val="28"/>
        </w:rPr>
        <w:t xml:space="preserve"> J.C.A</w:t>
      </w:r>
      <w:r w:rsidRPr="00437E7A">
        <w:rPr>
          <w:rFonts w:ascii="Bookman Old Style" w:eastAsia="Times New Roman" w:hAnsi="Bookman Old Style" w:cs="Times New Roman"/>
          <w:color w:val="000000"/>
          <w:sz w:val="28"/>
          <w:szCs w:val="28"/>
        </w:rPr>
        <w:t xml:space="preserve"> in the case of </w:t>
      </w:r>
      <w:proofErr w:type="spellStart"/>
      <w:r w:rsidRPr="00437E7A">
        <w:rPr>
          <w:rFonts w:ascii="Bookman Old Style" w:eastAsia="Times New Roman" w:hAnsi="Bookman Old Style" w:cs="Times New Roman"/>
          <w:b/>
          <w:bCs/>
          <w:color w:val="000000"/>
          <w:sz w:val="28"/>
          <w:szCs w:val="28"/>
        </w:rPr>
        <w:t>Deros</w:t>
      </w:r>
      <w:proofErr w:type="spellEnd"/>
      <w:r w:rsidRPr="00437E7A">
        <w:rPr>
          <w:rFonts w:ascii="Bookman Old Style" w:eastAsia="Times New Roman" w:hAnsi="Bookman Old Style" w:cs="Times New Roman"/>
          <w:b/>
          <w:bCs/>
          <w:color w:val="000000"/>
          <w:sz w:val="28"/>
          <w:szCs w:val="28"/>
        </w:rPr>
        <w:t xml:space="preserve"> Maritime Ltd vs. M.V. ‘‘MSC </w:t>
      </w:r>
      <w:proofErr w:type="spellStart"/>
      <w:r w:rsidRPr="00437E7A">
        <w:rPr>
          <w:rFonts w:ascii="Bookman Old Style" w:eastAsia="Times New Roman" w:hAnsi="Bookman Old Style" w:cs="Times New Roman"/>
          <w:b/>
          <w:bCs/>
          <w:color w:val="000000"/>
          <w:sz w:val="28"/>
          <w:szCs w:val="28"/>
        </w:rPr>
        <w:t>Apapa</w:t>
      </w:r>
      <w:proofErr w:type="spellEnd"/>
      <w:r w:rsidRPr="00437E7A">
        <w:rPr>
          <w:rFonts w:ascii="Bookman Old Style" w:eastAsia="Times New Roman" w:hAnsi="Bookman Old Style" w:cs="Times New Roman"/>
          <w:b/>
          <w:bCs/>
          <w:color w:val="000000"/>
          <w:sz w:val="28"/>
          <w:szCs w:val="28"/>
        </w:rPr>
        <w:t xml:space="preserve"> (2015) 1 NWLR (1439) 51@ 74-75 Paragraphs H-B</w:t>
      </w:r>
      <w:r w:rsidRPr="00437E7A">
        <w:rPr>
          <w:rFonts w:ascii="Bookman Old Style" w:eastAsia="Times New Roman" w:hAnsi="Bookman Old Style" w:cs="Times New Roman"/>
          <w:color w:val="000000"/>
          <w:sz w:val="28"/>
          <w:szCs w:val="28"/>
        </w:rPr>
        <w:t xml:space="preserve">  </w:t>
      </w:r>
      <w:r w:rsidRPr="00437E7A">
        <w:rPr>
          <w:rFonts w:ascii="Bookman Old Style" w:eastAsia="Times New Roman" w:hAnsi="Bookman Old Style" w:cs="Times New Roman"/>
          <w:b/>
          <w:bCs/>
          <w:color w:val="000000"/>
          <w:sz w:val="28"/>
          <w:szCs w:val="28"/>
        </w:rPr>
        <w:t>   </w:t>
      </w:r>
    </w:p>
    <w:p w14:paraId="0EF3D517" w14:textId="77777777" w:rsidR="00437E7A" w:rsidRPr="00437E7A" w:rsidRDefault="00437E7A" w:rsidP="00437E7A">
      <w:pPr>
        <w:spacing w:after="0" w:line="240" w:lineRule="auto"/>
        <w:rPr>
          <w:rFonts w:ascii="Times New Roman" w:eastAsia="Times New Roman" w:hAnsi="Times New Roman" w:cs="Times New Roman"/>
          <w:sz w:val="24"/>
          <w:szCs w:val="24"/>
        </w:rPr>
      </w:pPr>
    </w:p>
    <w:p w14:paraId="3B427F90"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 xml:space="preserve">It is the writer’s recommendation that the procedural thing to do and which is proper is filing of the amended writ of summons within the prescribed time or within seven (7) days where no time is prescribed after the grant of the leave to amend as filing the amended writ of summons after the grant of leave to amend would afford the Registrar to carry out his statutory duty provided for under the Rules of Court on the amended writ of summons for its validity and having the amended writ of summons deemed issued. </w:t>
      </w:r>
      <w:r w:rsidRPr="00437E7A">
        <w:rPr>
          <w:rFonts w:ascii="Bookman Old Style" w:eastAsia="Times New Roman" w:hAnsi="Bookman Old Style" w:cs="Times New Roman"/>
          <w:b/>
          <w:bCs/>
          <w:i/>
          <w:iCs/>
          <w:color w:val="000000"/>
          <w:sz w:val="28"/>
          <w:szCs w:val="28"/>
        </w:rPr>
        <w:t>See Order 6 on the issue of Originating Process.</w:t>
      </w:r>
    </w:p>
    <w:p w14:paraId="01249799"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 </w:t>
      </w:r>
    </w:p>
    <w:p w14:paraId="73D88BB7" w14:textId="77777777" w:rsidR="00437E7A" w:rsidRPr="00437E7A" w:rsidRDefault="00437E7A" w:rsidP="00437E7A">
      <w:pPr>
        <w:spacing w:after="0" w:line="240" w:lineRule="auto"/>
        <w:jc w:val="both"/>
        <w:rPr>
          <w:rFonts w:ascii="Times New Roman" w:eastAsia="Times New Roman" w:hAnsi="Times New Roman" w:cs="Times New Roman"/>
          <w:sz w:val="24"/>
          <w:szCs w:val="24"/>
        </w:rPr>
      </w:pPr>
      <w:r w:rsidRPr="00437E7A">
        <w:rPr>
          <w:rFonts w:ascii="Bookman Old Style" w:eastAsia="Times New Roman" w:hAnsi="Bookman Old Style" w:cs="Times New Roman"/>
          <w:color w:val="000000"/>
          <w:sz w:val="28"/>
          <w:szCs w:val="28"/>
        </w:rPr>
        <w:t>It is finally recommended and advised that not all the things found doing in our courts as practice over the years that worth following hook, line and sinker and the statement ‘</w:t>
      </w:r>
      <w:r w:rsidRPr="00437E7A">
        <w:rPr>
          <w:rFonts w:ascii="Bookman Old Style" w:eastAsia="Times New Roman" w:hAnsi="Bookman Old Style" w:cs="Times New Roman"/>
          <w:b/>
          <w:bCs/>
          <w:color w:val="000000"/>
          <w:sz w:val="28"/>
          <w:szCs w:val="28"/>
        </w:rPr>
        <w:t xml:space="preserve">this is the way they have been doing it’ </w:t>
      </w:r>
      <w:r w:rsidRPr="00437E7A">
        <w:rPr>
          <w:rFonts w:ascii="Bookman Old Style" w:eastAsia="Times New Roman" w:hAnsi="Bookman Old Style" w:cs="Times New Roman"/>
          <w:color w:val="000000"/>
          <w:sz w:val="28"/>
          <w:szCs w:val="28"/>
        </w:rPr>
        <w:t>or</w:t>
      </w:r>
      <w:r w:rsidRPr="00437E7A">
        <w:rPr>
          <w:rFonts w:ascii="Bookman Old Style" w:eastAsia="Times New Roman" w:hAnsi="Bookman Old Style" w:cs="Times New Roman"/>
          <w:b/>
          <w:bCs/>
          <w:color w:val="000000"/>
          <w:sz w:val="28"/>
          <w:szCs w:val="28"/>
        </w:rPr>
        <w:t xml:space="preserve"> </w:t>
      </w:r>
      <w:r w:rsidRPr="00437E7A">
        <w:rPr>
          <w:rFonts w:ascii="Bookman Old Style" w:eastAsia="Times New Roman" w:hAnsi="Bookman Old Style" w:cs="Times New Roman"/>
          <w:color w:val="000000"/>
          <w:sz w:val="28"/>
          <w:szCs w:val="28"/>
        </w:rPr>
        <w:t>over adherence to the precedent</w:t>
      </w:r>
      <w:r w:rsidRPr="00437E7A">
        <w:rPr>
          <w:rFonts w:ascii="Bookman Old Style" w:eastAsia="Times New Roman" w:hAnsi="Bookman Old Style" w:cs="Times New Roman"/>
          <w:b/>
          <w:bCs/>
          <w:color w:val="000000"/>
          <w:sz w:val="28"/>
          <w:szCs w:val="28"/>
        </w:rPr>
        <w:t xml:space="preserve"> </w:t>
      </w:r>
      <w:r w:rsidRPr="00437E7A">
        <w:rPr>
          <w:rFonts w:ascii="Bookman Old Style" w:eastAsia="Times New Roman" w:hAnsi="Bookman Old Style" w:cs="Times New Roman"/>
          <w:color w:val="000000"/>
          <w:sz w:val="28"/>
          <w:szCs w:val="28"/>
        </w:rPr>
        <w:t>needs to be put a halt to</w:t>
      </w:r>
      <w:r w:rsidRPr="00437E7A">
        <w:rPr>
          <w:rFonts w:ascii="Bookman Old Style" w:eastAsia="Times New Roman" w:hAnsi="Bookman Old Style" w:cs="Times New Roman"/>
          <w:b/>
          <w:bCs/>
          <w:color w:val="000000"/>
          <w:sz w:val="28"/>
          <w:szCs w:val="28"/>
        </w:rPr>
        <w:t xml:space="preserve"> </w:t>
      </w:r>
      <w:r w:rsidRPr="00437E7A">
        <w:rPr>
          <w:rFonts w:ascii="Bookman Old Style" w:eastAsia="Times New Roman" w:hAnsi="Bookman Old Style" w:cs="Times New Roman"/>
          <w:color w:val="000000"/>
          <w:sz w:val="28"/>
          <w:szCs w:val="28"/>
        </w:rPr>
        <w:t>for good practice. </w:t>
      </w:r>
    </w:p>
    <w:p w14:paraId="49121F8F" w14:textId="77777777" w:rsidR="00B00FFD" w:rsidRDefault="00B00FFD"/>
    <w:sectPr w:rsidR="00B00FF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7E7A"/>
    <w:rsid w:val="00437E7A"/>
    <w:rsid w:val="00B00F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942C95"/>
  <w15:chartTrackingRefBased/>
  <w15:docId w15:val="{A1F02D2A-DAE4-4524-99E0-792E3F76D8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37E7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437E7A"/>
  </w:style>
  <w:style w:type="character" w:styleId="Hyperlink">
    <w:name w:val="Hyperlink"/>
    <w:basedOn w:val="DefaultParagraphFont"/>
    <w:uiPriority w:val="99"/>
    <w:semiHidden/>
    <w:unhideWhenUsed/>
    <w:rsid w:val="00437E7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43679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iwa_pentalk@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1150</Words>
  <Characters>6555</Characters>
  <Application>Microsoft Office Word</Application>
  <DocSecurity>0</DocSecurity>
  <Lines>54</Lines>
  <Paragraphs>15</Paragraphs>
  <ScaleCrop>false</ScaleCrop>
  <Company/>
  <LinksUpToDate>false</LinksUpToDate>
  <CharactersWithSpaces>7690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Nduka</dc:creator>
  <cp:keywords/>
  <dc:description/>
  <cp:lastModifiedBy>Nduka</cp:lastModifiedBy>
  <cp:revision>1</cp:revision>
  <dcterms:created xsi:type="dcterms:W3CDTF">2020-12-01T10:38:00Z</dcterms:created>
  <dcterms:modified xsi:type="dcterms:W3CDTF">2020-12-01T10:39:00Z</dcterms:modified>
</cp:coreProperties>
</file>